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60" w:rsidRDefault="00714260" w:rsidP="00714260">
      <w:pPr>
        <w:spacing w:after="0" w:line="240" w:lineRule="auto"/>
        <w:jc w:val="center"/>
        <w:rPr>
          <w:rFonts w:eastAsiaTheme="minorEastAsia" w:cstheme="minorHAnsi"/>
          <w:b/>
          <w:sz w:val="36"/>
          <w:szCs w:val="28"/>
        </w:rPr>
      </w:pPr>
      <w:r>
        <w:rPr>
          <w:rFonts w:eastAsiaTheme="minorEastAsia" w:cstheme="minorHAnsi"/>
          <w:b/>
          <w:noProof/>
          <w:sz w:val="36"/>
          <w:szCs w:val="28"/>
          <w:lang w:eastAsia="it-IT"/>
        </w:rPr>
        <w:drawing>
          <wp:anchor distT="0" distB="0" distL="114300" distR="114300" simplePos="0" relativeHeight="251658240" behindDoc="0" locked="0" layoutInCell="1" allowOverlap="1" wp14:anchorId="50086D61" wp14:editId="6E590896">
            <wp:simplePos x="0" y="0"/>
            <wp:positionH relativeFrom="column">
              <wp:posOffset>289560</wp:posOffset>
            </wp:positionH>
            <wp:positionV relativeFrom="paragraph">
              <wp:posOffset>-528320</wp:posOffset>
            </wp:positionV>
            <wp:extent cx="5543550" cy="2217534"/>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asce banner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43550" cy="2217534"/>
                    </a:xfrm>
                    <a:prstGeom prst="rect">
                      <a:avLst/>
                    </a:prstGeom>
                  </pic:spPr>
                </pic:pic>
              </a:graphicData>
            </a:graphic>
            <wp14:sizeRelH relativeFrom="margin">
              <wp14:pctWidth>0</wp14:pctWidth>
            </wp14:sizeRelH>
            <wp14:sizeRelV relativeFrom="margin">
              <wp14:pctHeight>0</wp14:pctHeight>
            </wp14:sizeRelV>
          </wp:anchor>
        </w:drawing>
      </w:r>
    </w:p>
    <w:p w:rsidR="00714260" w:rsidRDefault="00714260" w:rsidP="00714260">
      <w:pPr>
        <w:spacing w:after="0" w:line="240" w:lineRule="auto"/>
        <w:jc w:val="center"/>
        <w:rPr>
          <w:rFonts w:eastAsiaTheme="minorEastAsia" w:cstheme="minorHAnsi"/>
          <w:b/>
          <w:sz w:val="36"/>
          <w:szCs w:val="28"/>
        </w:rPr>
      </w:pPr>
    </w:p>
    <w:p w:rsidR="00714260" w:rsidRDefault="00714260" w:rsidP="00714260">
      <w:pPr>
        <w:spacing w:after="0" w:line="240" w:lineRule="auto"/>
        <w:jc w:val="center"/>
        <w:rPr>
          <w:rFonts w:eastAsiaTheme="minorEastAsia" w:cstheme="minorHAnsi"/>
          <w:b/>
          <w:sz w:val="36"/>
          <w:szCs w:val="28"/>
        </w:rPr>
      </w:pPr>
    </w:p>
    <w:p w:rsidR="00714260" w:rsidRDefault="00714260" w:rsidP="00714260">
      <w:pPr>
        <w:spacing w:after="0" w:line="240" w:lineRule="auto"/>
        <w:jc w:val="center"/>
        <w:rPr>
          <w:rFonts w:eastAsiaTheme="minorEastAsia" w:cstheme="minorHAnsi"/>
          <w:b/>
          <w:sz w:val="36"/>
          <w:szCs w:val="28"/>
        </w:rPr>
      </w:pPr>
    </w:p>
    <w:p w:rsidR="00714260" w:rsidRDefault="00714260" w:rsidP="00714260">
      <w:pPr>
        <w:spacing w:after="0" w:line="240" w:lineRule="auto"/>
        <w:jc w:val="center"/>
        <w:rPr>
          <w:rFonts w:eastAsiaTheme="minorEastAsia" w:cstheme="minorHAnsi"/>
          <w:b/>
          <w:sz w:val="36"/>
          <w:szCs w:val="28"/>
        </w:rPr>
      </w:pPr>
    </w:p>
    <w:p w:rsidR="00714260" w:rsidRDefault="00714260" w:rsidP="00714260">
      <w:pPr>
        <w:spacing w:after="0" w:line="240" w:lineRule="auto"/>
        <w:jc w:val="center"/>
        <w:rPr>
          <w:rFonts w:eastAsiaTheme="minorEastAsia" w:cstheme="minorHAnsi"/>
          <w:b/>
          <w:sz w:val="36"/>
          <w:szCs w:val="28"/>
        </w:rPr>
      </w:pPr>
    </w:p>
    <w:p w:rsidR="00F75FC2" w:rsidRDefault="00F75FC2" w:rsidP="00714260">
      <w:pPr>
        <w:spacing w:after="0" w:line="240" w:lineRule="auto"/>
        <w:jc w:val="center"/>
        <w:rPr>
          <w:rFonts w:eastAsiaTheme="minorEastAsia" w:cstheme="minorHAnsi"/>
          <w:b/>
          <w:sz w:val="36"/>
          <w:szCs w:val="28"/>
        </w:rPr>
      </w:pPr>
    </w:p>
    <w:p w:rsidR="00714260" w:rsidRDefault="00714260" w:rsidP="00714260">
      <w:pPr>
        <w:spacing w:after="0" w:line="240" w:lineRule="auto"/>
        <w:jc w:val="center"/>
        <w:rPr>
          <w:rFonts w:eastAsiaTheme="minorEastAsia" w:cstheme="minorHAnsi"/>
          <w:b/>
          <w:sz w:val="36"/>
          <w:szCs w:val="28"/>
        </w:rPr>
      </w:pPr>
      <w:bookmarkStart w:id="0" w:name="_GoBack"/>
      <w:bookmarkEnd w:id="0"/>
    </w:p>
    <w:p w:rsidR="00714260" w:rsidRPr="00F75FC2" w:rsidRDefault="00714260" w:rsidP="00714260">
      <w:pPr>
        <w:spacing w:after="0" w:line="240" w:lineRule="auto"/>
        <w:jc w:val="center"/>
        <w:rPr>
          <w:rFonts w:eastAsiaTheme="minorEastAsia" w:cstheme="minorHAnsi"/>
          <w:i/>
          <w:sz w:val="36"/>
          <w:szCs w:val="28"/>
        </w:rPr>
      </w:pPr>
      <w:r w:rsidRPr="00F75FC2">
        <w:rPr>
          <w:rFonts w:eastAsiaTheme="minorEastAsia" w:cstheme="minorHAnsi"/>
          <w:i/>
          <w:sz w:val="36"/>
          <w:szCs w:val="28"/>
        </w:rPr>
        <w:t>EXECUTIVE SUMMARY</w:t>
      </w:r>
    </w:p>
    <w:p w:rsidR="00714260" w:rsidRPr="005C2AB4" w:rsidRDefault="00714260" w:rsidP="00714260">
      <w:pPr>
        <w:spacing w:after="0" w:line="240" w:lineRule="auto"/>
        <w:jc w:val="both"/>
        <w:rPr>
          <w:rFonts w:eastAsiaTheme="minorEastAsia" w:cstheme="minorHAnsi"/>
          <w:b/>
          <w:sz w:val="24"/>
          <w:szCs w:val="24"/>
        </w:rPr>
      </w:pPr>
    </w:p>
    <w:p w:rsidR="00714260" w:rsidRPr="00B22816" w:rsidRDefault="00714260" w:rsidP="00714260">
      <w:pPr>
        <w:spacing w:after="0" w:line="240" w:lineRule="auto"/>
        <w:jc w:val="both"/>
        <w:rPr>
          <w:rFonts w:eastAsia="Arial Unicode MS" w:cstheme="minorHAnsi"/>
          <w:i/>
          <w:color w:val="0070C0"/>
        </w:rPr>
      </w:pPr>
      <w:r w:rsidRPr="00B22816">
        <w:rPr>
          <w:rFonts w:eastAsia="Arial Unicode MS" w:cstheme="minorHAnsi"/>
          <w:i/>
          <w:color w:val="0070C0"/>
        </w:rPr>
        <w:t>La  battuta d’arresto  del sistema economico locale</w:t>
      </w:r>
    </w:p>
    <w:p w:rsidR="00714260" w:rsidRPr="00B22816" w:rsidRDefault="00714260" w:rsidP="00714260">
      <w:pPr>
        <w:spacing w:after="0" w:line="240" w:lineRule="auto"/>
        <w:jc w:val="both"/>
        <w:rPr>
          <w:rFonts w:eastAsia="Arial Unicode MS" w:cstheme="minorHAnsi"/>
        </w:rPr>
      </w:pPr>
      <w:r w:rsidRPr="00B22816">
        <w:rPr>
          <w:rFonts w:eastAsia="Arial Unicode MS" w:cstheme="minorHAnsi"/>
        </w:rPr>
        <w:t>La dinamica recessiva ha assunto nel tarantino una dimensione più marcata rispetto sia alle altre province pugliesi sia al resto del Paese</w:t>
      </w:r>
      <w:r w:rsidRPr="00B22816">
        <w:rPr>
          <w:rFonts w:eastAsia="Arial Unicode MS" w:cstheme="minorHAnsi"/>
          <w:b/>
        </w:rPr>
        <w:t>: nel 2014, infatti, la provincia è risultata la peggiore area in Italia per andamento del valore aggiunto prodotto a prezzi correnti con una flessione, rispetto al 2013, del -3,2%</w:t>
      </w:r>
      <w:r w:rsidRPr="00B22816">
        <w:rPr>
          <w:rFonts w:eastAsia="Arial Unicode MS" w:cstheme="minorHAnsi"/>
        </w:rPr>
        <w:t xml:space="preserve">, a fronte di una media nazionale che ha fatto registrare un primo timido segnale di ripresa (+0,2%). </w:t>
      </w:r>
      <w:r w:rsidRPr="00B22816">
        <w:rPr>
          <w:rFonts w:eastAsia="Arial Unicode MS" w:cstheme="minorHAnsi"/>
          <w:b/>
        </w:rPr>
        <w:t>Il confronto con le altre realtà pugliesi sembrerebbe indicare una regione a due velocità</w:t>
      </w:r>
      <w:r w:rsidRPr="00B22816">
        <w:rPr>
          <w:rFonts w:eastAsia="Arial Unicode MS" w:cstheme="minorHAnsi"/>
        </w:rPr>
        <w:t>. Da un lato Bari (-0,2%), Brindisi (+0,2%), Lecce (-0,3%) e Barletta-Andria-Trani (-0,3%) dall’altro Foggia (-1,7%) e, soprattutto, Taranto mostrano una sorta di incapacità nel recepire i benefici connessi al miglioramento del ciclo economico internazionale e nazionale.</w:t>
      </w:r>
    </w:p>
    <w:p w:rsidR="00714260" w:rsidRPr="00B22816" w:rsidRDefault="00714260" w:rsidP="00714260">
      <w:pPr>
        <w:spacing w:after="0" w:line="240" w:lineRule="auto"/>
        <w:jc w:val="both"/>
        <w:rPr>
          <w:rFonts w:eastAsia="Arial Unicode MS" w:cstheme="minorHAnsi"/>
          <w:i/>
          <w:color w:val="0070C0"/>
        </w:rPr>
      </w:pPr>
      <w:r w:rsidRPr="00B22816">
        <w:rPr>
          <w:rFonts w:eastAsia="Arial Unicode MS" w:cstheme="minorHAnsi"/>
          <w:i/>
          <w:color w:val="0070C0"/>
        </w:rPr>
        <w:t>I settori produttivi</w:t>
      </w:r>
    </w:p>
    <w:p w:rsidR="00714260" w:rsidRPr="00B22816" w:rsidRDefault="00714260" w:rsidP="00714260">
      <w:pPr>
        <w:spacing w:after="0" w:line="240" w:lineRule="auto"/>
        <w:jc w:val="both"/>
        <w:rPr>
          <w:rFonts w:eastAsia="Arial Unicode MS" w:cstheme="minorHAnsi"/>
        </w:rPr>
      </w:pPr>
      <w:r w:rsidRPr="00B22816">
        <w:rPr>
          <w:rFonts w:eastAsia="Arial Unicode MS" w:cstheme="minorHAnsi"/>
          <w:b/>
        </w:rPr>
        <w:t>Commercio e i servizi hanno contribuito nel 2013 al 72,8% della produzione del valore aggiunto provinciale</w:t>
      </w:r>
      <w:r w:rsidRPr="00B22816">
        <w:rPr>
          <w:rFonts w:eastAsia="Arial Unicode MS" w:cstheme="minorHAnsi"/>
        </w:rPr>
        <w:t xml:space="preserve">, un dato inferiore di 1,4 punti alla media nazionale (74,4%) e di ben 4,4 punti a quella pugliese (77,2%). </w:t>
      </w:r>
      <w:r w:rsidRPr="00B22816">
        <w:rPr>
          <w:rFonts w:ascii="Calibri" w:eastAsia="Arial Unicode MS" w:hAnsi="Calibri" w:cs="Calibri"/>
          <w:lang w:eastAsia="it-IT"/>
        </w:rPr>
        <w:t xml:space="preserve">All’opposto </w:t>
      </w:r>
      <w:r w:rsidRPr="00B22816">
        <w:rPr>
          <w:rFonts w:ascii="Calibri" w:eastAsia="Arial Unicode MS" w:hAnsi="Calibri" w:cs="Calibri"/>
          <w:b/>
          <w:lang w:eastAsia="it-IT"/>
        </w:rPr>
        <w:t>Taranto presenta</w:t>
      </w:r>
      <w:r w:rsidRPr="00B22816">
        <w:rPr>
          <w:rFonts w:ascii="Calibri" w:eastAsia="Arial Unicode MS" w:hAnsi="Calibri" w:cs="Calibri"/>
          <w:lang w:eastAsia="it-IT"/>
        </w:rPr>
        <w:t xml:space="preserve">, insieme a Brindisi, </w:t>
      </w:r>
      <w:r w:rsidRPr="00B22816">
        <w:rPr>
          <w:rFonts w:ascii="Calibri" w:eastAsia="Arial Unicode MS" w:hAnsi="Calibri" w:cs="Calibri"/>
          <w:b/>
          <w:lang w:eastAsia="it-IT"/>
        </w:rPr>
        <w:t>un profilo più industriale che la distingue dalle altre aree pugliesi</w:t>
      </w:r>
      <w:r w:rsidRPr="00B22816">
        <w:rPr>
          <w:rFonts w:ascii="Calibri" w:eastAsia="Arial Unicode MS" w:hAnsi="Calibri" w:cs="Calibri"/>
          <w:lang w:eastAsia="it-IT"/>
        </w:rPr>
        <w:t xml:space="preserve">. Nel 2013, il settore secondario ha contribuito per il 20,8% alla formazione del valore aggiunto (industria in senso stretto 16,5%; costruzioni 4,3%), un livello superiore al dato medio regionale (17,9%), ma al contempo ancora inferiore da quello nazionale (23,2%). </w:t>
      </w:r>
      <w:r w:rsidRPr="00B22816">
        <w:rPr>
          <w:rFonts w:ascii="Calibri" w:eastAsia="Arial Unicode MS" w:hAnsi="Calibri" w:cs="Calibri"/>
          <w:b/>
          <w:lang w:eastAsia="it-IT"/>
        </w:rPr>
        <w:t>Nel 2013, l’incidenza del comparto agricoltura, silvicoltura e pesca sul valore aggiunto provinciale è pari al 6,4%</w:t>
      </w:r>
      <w:r w:rsidRPr="00B22816">
        <w:rPr>
          <w:rFonts w:ascii="Calibri" w:eastAsia="Arial Unicode MS" w:hAnsi="Calibri" w:cs="Calibri"/>
          <w:lang w:eastAsia="it-IT"/>
        </w:rPr>
        <w:t>; a livello regionale, dove si osserva un dato medio inferiore (4,8%), soltanto la provincia di Foggia (8,5%) presenta un peso maggiore. Tra l’altro, il settore agricolo appare tuttora quello con le maggiori possibilità di traino per il rilancio dell’economia locale.</w:t>
      </w:r>
      <w:r w:rsidRPr="00B22816">
        <w:rPr>
          <w:rFonts w:eastAsia="Arial Unicode MS" w:cstheme="minorHAnsi"/>
          <w:b/>
        </w:rPr>
        <w:t xml:space="preserve"> L’incidenza dell’artigianato sul valore aggiunto totale presenta a Taranto il valore meno marcato tra le province pugliesi</w:t>
      </w:r>
      <w:r w:rsidRPr="00B22816">
        <w:rPr>
          <w:rFonts w:eastAsia="Arial Unicode MS" w:cstheme="minorHAnsi"/>
        </w:rPr>
        <w:t>. Nel 2012, soltanto l’8,9% della ricchezza prodotta era imputabile ad imprese artigiane, a fronte dell’11,4% della media pugliese e dell’11,5% di quella nazionale.</w:t>
      </w:r>
    </w:p>
    <w:p w:rsidR="00714260" w:rsidRPr="00B22816" w:rsidRDefault="00714260" w:rsidP="00714260">
      <w:pPr>
        <w:spacing w:after="0" w:line="240" w:lineRule="auto"/>
        <w:jc w:val="both"/>
        <w:rPr>
          <w:rFonts w:eastAsia="Arial Unicode MS" w:cstheme="minorHAnsi"/>
        </w:rPr>
      </w:pPr>
      <w:r w:rsidRPr="00B22816">
        <w:rPr>
          <w:rFonts w:eastAsia="Arial Unicode MS" w:cstheme="minorHAnsi"/>
        </w:rPr>
        <w:t xml:space="preserve">Una rilevante importanza è rivestita dalle Pubbliche Amministrazioni della provincia, dal momento che nel 2012 </w:t>
      </w:r>
      <w:r w:rsidRPr="00B22816">
        <w:rPr>
          <w:rFonts w:eastAsia="Arial Unicode MS" w:cstheme="minorHAnsi"/>
          <w:b/>
        </w:rPr>
        <w:t>il 24,1% del valore aggiunto è generato proprio da Enti pubblici, in misura superiore al dato medio regionale e nazionale (rispettivamente 19,1% e 12,5%). Si tratta, se si escludono le province siciliane, del più elevato contributo a livello nazionale</w:t>
      </w:r>
      <w:r w:rsidRPr="00B22816">
        <w:rPr>
          <w:rFonts w:eastAsia="Arial Unicode MS" w:cstheme="minorHAnsi"/>
        </w:rPr>
        <w:t xml:space="preserve">. </w:t>
      </w:r>
    </w:p>
    <w:p w:rsidR="00714260" w:rsidRPr="00B22816" w:rsidRDefault="00714260" w:rsidP="00714260">
      <w:pPr>
        <w:spacing w:after="0" w:line="240" w:lineRule="auto"/>
        <w:jc w:val="both"/>
        <w:rPr>
          <w:rFonts w:eastAsia="Arial Unicode MS" w:cstheme="minorHAnsi"/>
          <w:i/>
          <w:color w:val="0070C0"/>
        </w:rPr>
      </w:pPr>
      <w:r w:rsidRPr="00B22816">
        <w:rPr>
          <w:rFonts w:eastAsia="Arial Unicode MS" w:cstheme="minorHAnsi"/>
          <w:i/>
          <w:color w:val="0070C0"/>
        </w:rPr>
        <w:t>Il mercato del lavoro</w:t>
      </w:r>
    </w:p>
    <w:p w:rsidR="00714260" w:rsidRPr="00B22816" w:rsidRDefault="00714260" w:rsidP="00714260">
      <w:pPr>
        <w:spacing w:after="0" w:line="240" w:lineRule="auto"/>
        <w:jc w:val="both"/>
        <w:rPr>
          <w:rFonts w:eastAsia="Arial Unicode MS" w:cstheme="minorHAnsi"/>
          <w:i/>
          <w:color w:val="0070C0"/>
        </w:rPr>
      </w:pPr>
      <w:r w:rsidRPr="00B22816">
        <w:rPr>
          <w:rFonts w:ascii="Calibri" w:eastAsia="Arial Unicode MS" w:hAnsi="Calibri" w:cs="Calibri"/>
          <w:b/>
        </w:rPr>
        <w:t>Rispetto al 2013 il numero di occupati in provincia di Taranto si è ridotto di circa 10.400 unità (-6,2%)</w:t>
      </w:r>
      <w:r w:rsidRPr="00B22816">
        <w:rPr>
          <w:rFonts w:ascii="Calibri" w:eastAsia="Arial Unicode MS" w:hAnsi="Calibri" w:cs="Calibri"/>
        </w:rPr>
        <w:t>. Si tratta della peggior performance a livello regionale.</w:t>
      </w:r>
      <w:r w:rsidRPr="00B22816">
        <w:rPr>
          <w:rFonts w:ascii="Calibri" w:eastAsia="Arial Unicode MS" w:hAnsi="Calibri" w:cs="Calibri"/>
          <w:b/>
        </w:rPr>
        <w:t xml:space="preserve"> </w:t>
      </w:r>
      <w:r w:rsidRPr="00B22816">
        <w:rPr>
          <w:rFonts w:ascii="Calibri" w:eastAsia="Arial Unicode MS" w:hAnsi="Calibri" w:cs="Calibri"/>
        </w:rPr>
        <w:t>Circa la metà dei residenti della provincia di Taranto in età lavorativa risulta non attiva</w:t>
      </w:r>
      <w:r w:rsidRPr="00B22816">
        <w:rPr>
          <w:rFonts w:ascii="Calibri" w:eastAsia="Arial Unicode MS" w:hAnsi="Calibri" w:cs="Calibri"/>
          <w:b/>
        </w:rPr>
        <w:t>. Il tasso di disoccupazione</w:t>
      </w:r>
      <w:r w:rsidRPr="00B22816">
        <w:rPr>
          <w:rFonts w:ascii="Calibri" w:eastAsia="Arial Unicode MS" w:hAnsi="Calibri" w:cs="Calibri"/>
        </w:rPr>
        <w:t xml:space="preserve">, dato dal rapporto tra persone in cerca di lavoro e forza lavoro totale, nel 2014 aumenta passando dal 15,5% al 18,5%, crescita decisamente più rilevante del dato pugliese (passa dal 19,7% al 21,5%) e di quello nazionale (da 12,1% a 12,7%). </w:t>
      </w:r>
      <w:r w:rsidRPr="00B22816">
        <w:rPr>
          <w:rFonts w:ascii="Calibri" w:eastAsia="Arial Unicode MS" w:hAnsi="Calibri" w:cs="Calibri"/>
          <w:b/>
        </w:rPr>
        <w:t>Il tasso di disoccupazione giovanile (15-24 anni) è cresciuto in provincia di Taranto di quasi 14 punti in un anno, passando dal 40,5% al 54,2%</w:t>
      </w:r>
      <w:r w:rsidRPr="00B22816">
        <w:rPr>
          <w:rFonts w:ascii="Calibri" w:eastAsia="Arial Unicode MS" w:hAnsi="Calibri" w:cs="Calibri"/>
        </w:rPr>
        <w:t xml:space="preserve">. Le difficoltà occupazionali in provincia di Taranto si traducono in un significativo ricorso alla Cassa Integrazione Guadagni (CIG). Nel 2014, il volume complessivo è rimasto </w:t>
      </w:r>
      <w:r w:rsidRPr="00B22816">
        <w:rPr>
          <w:rFonts w:ascii="Calibri" w:eastAsia="Arial Unicode MS" w:hAnsi="Calibri" w:cs="Calibri"/>
        </w:rPr>
        <w:lastRenderedPageBreak/>
        <w:t xml:space="preserve">pressoché identico al 2013 (+0,1%), confermandosi il più alto dell’intera Puglia. </w:t>
      </w:r>
      <w:r w:rsidRPr="00B22816">
        <w:rPr>
          <w:rFonts w:ascii="Calibri" w:eastAsia="Arial Unicode MS" w:hAnsi="Calibri" w:cs="Calibri"/>
          <w:b/>
        </w:rPr>
        <w:t>Nello specifico, il 42,5% del totale delle ore CIG erogate in Puglia è stato destinato a lavoratori di imprese tarantine</w:t>
      </w:r>
      <w:r w:rsidRPr="00B22816">
        <w:rPr>
          <w:rFonts w:ascii="Calibri" w:eastAsia="Arial Unicode MS" w:hAnsi="Calibri" w:cs="Calibri"/>
        </w:rPr>
        <w:t>.</w:t>
      </w:r>
    </w:p>
    <w:p w:rsidR="00714260" w:rsidRPr="00B22816" w:rsidRDefault="00714260" w:rsidP="00714260">
      <w:pPr>
        <w:spacing w:after="0" w:line="240" w:lineRule="auto"/>
        <w:jc w:val="both"/>
        <w:rPr>
          <w:rFonts w:eastAsia="Arial Unicode MS" w:cstheme="minorHAnsi"/>
          <w:i/>
          <w:color w:val="0070C0"/>
        </w:rPr>
      </w:pPr>
      <w:r w:rsidRPr="00B22816">
        <w:rPr>
          <w:rFonts w:eastAsia="Arial Unicode MS" w:cstheme="minorHAnsi"/>
          <w:i/>
          <w:color w:val="0070C0"/>
        </w:rPr>
        <w:t>Infrastrutture e potenzialità</w:t>
      </w:r>
    </w:p>
    <w:p w:rsidR="00714260" w:rsidRPr="00B22816" w:rsidRDefault="00714260" w:rsidP="00714260">
      <w:pPr>
        <w:spacing w:after="0" w:line="240" w:lineRule="auto"/>
        <w:jc w:val="both"/>
        <w:rPr>
          <w:rFonts w:cstheme="minorHAnsi"/>
        </w:rPr>
      </w:pPr>
      <w:r w:rsidRPr="00B22816">
        <w:rPr>
          <w:rFonts w:eastAsia="Arial Unicode MS" w:cstheme="minorHAnsi"/>
        </w:rPr>
        <w:t>L</w:t>
      </w:r>
      <w:r w:rsidRPr="00B22816">
        <w:rPr>
          <w:rFonts w:cstheme="minorHAnsi"/>
          <w:b/>
        </w:rPr>
        <w:t>’indice relativo alle infrastrutture economiche si attesta a 83,5</w:t>
      </w:r>
      <w:r w:rsidRPr="00B22816">
        <w:rPr>
          <w:rFonts w:cstheme="minorHAnsi"/>
        </w:rPr>
        <w:t xml:space="preserve"> (Italia = 100). In questo caso si osserva un gap negativo piuttosto rilevante con le aree di Brindisi (</w:t>
      </w:r>
      <w:proofErr w:type="spellStart"/>
      <w:r w:rsidRPr="00B22816">
        <w:rPr>
          <w:rFonts w:cstheme="minorHAnsi"/>
        </w:rPr>
        <w:t>n.i</w:t>
      </w:r>
      <w:proofErr w:type="spellEnd"/>
      <w:r w:rsidRPr="00B22816">
        <w:rPr>
          <w:rFonts w:cstheme="minorHAnsi"/>
        </w:rPr>
        <w:t>. 134,6) e Bari (</w:t>
      </w:r>
      <w:proofErr w:type="spellStart"/>
      <w:r w:rsidRPr="00B22816">
        <w:rPr>
          <w:rFonts w:cstheme="minorHAnsi"/>
        </w:rPr>
        <w:t>n.i</w:t>
      </w:r>
      <w:proofErr w:type="spellEnd"/>
      <w:r w:rsidRPr="00B22816">
        <w:rPr>
          <w:rFonts w:cstheme="minorHAnsi"/>
        </w:rPr>
        <w:t xml:space="preserve">. 97,4), sebbene si evidenzi una condizione migliore rispetto a Foggia (64,5) e Lecce (70,3). È evidente che </w:t>
      </w:r>
      <w:r w:rsidRPr="00B22816">
        <w:rPr>
          <w:rFonts w:cstheme="minorHAnsi"/>
          <w:b/>
        </w:rPr>
        <w:t>il tema delle infrastrutture può rappresentare un fattore chiave per l’attivazione di politiche finalizzate alla crescita</w:t>
      </w:r>
      <w:r w:rsidRPr="00B22816">
        <w:rPr>
          <w:rFonts w:cstheme="minorHAnsi"/>
        </w:rPr>
        <w:t>. Il gap infrastrutturale, infatti, risulta molto penalizzante per le aree industriali del tarantino, oltre ad aver inciso negativamente nella marginalizzazione del Porto di Taranto. La provincia di Taranto evidenzia una bassa sensibilità al ciclo economico, posizionandosi all’83-esimo nella graduatoria delle province italiane.</w:t>
      </w:r>
      <w:r w:rsidRPr="00B22816">
        <w:rPr>
          <w:rFonts w:cstheme="minorHAnsi"/>
          <w:b/>
        </w:rPr>
        <w:t xml:space="preserve"> La rigidità al ciclo dell’economia tarantina dipende, in via prevalente, dal suo isolamento internazionale</w:t>
      </w:r>
      <w:r w:rsidRPr="00B22816">
        <w:rPr>
          <w:rFonts w:cstheme="minorHAnsi"/>
        </w:rPr>
        <w:t xml:space="preserve">: la </w:t>
      </w:r>
    </w:p>
    <w:p w:rsidR="00714260" w:rsidRPr="00B22816" w:rsidRDefault="00714260" w:rsidP="00714260">
      <w:pPr>
        <w:spacing w:after="0" w:line="240" w:lineRule="auto"/>
        <w:jc w:val="both"/>
        <w:rPr>
          <w:rFonts w:cstheme="minorHAnsi"/>
        </w:rPr>
      </w:pPr>
      <w:r w:rsidRPr="00B22816">
        <w:rPr>
          <w:rFonts w:cstheme="minorHAnsi"/>
        </w:rPr>
        <w:t>propensione all’export (</w:t>
      </w:r>
      <w:proofErr w:type="spellStart"/>
      <w:r w:rsidRPr="00B22816">
        <w:rPr>
          <w:rFonts w:cstheme="minorHAnsi"/>
        </w:rPr>
        <w:t>n.i</w:t>
      </w:r>
      <w:proofErr w:type="spellEnd"/>
      <w:r w:rsidRPr="00B22816">
        <w:rPr>
          <w:rFonts w:cstheme="minorHAnsi"/>
        </w:rPr>
        <w:t>. Taranto 30,4; Italia = 100) e l’apertura internazionale al turismo (</w:t>
      </w:r>
      <w:proofErr w:type="spellStart"/>
      <w:r w:rsidRPr="00B22816">
        <w:rPr>
          <w:rFonts w:cstheme="minorHAnsi"/>
        </w:rPr>
        <w:t>n.i</w:t>
      </w:r>
      <w:proofErr w:type="spellEnd"/>
      <w:r w:rsidRPr="00B22816">
        <w:rPr>
          <w:rFonts w:cstheme="minorHAnsi"/>
        </w:rPr>
        <w:t xml:space="preserve">. 8,2) sono i fattori che presentano una maggiore criticità, tali da isolare la provincia dalle fluttuazioni dei mercati e dal ciclo internazionale. Questa condizione di chiusura limita la possibilità di beneficiare dei segnali di ripresa dell’economia internazionale. </w:t>
      </w:r>
      <w:r w:rsidRPr="00B22816">
        <w:rPr>
          <w:rFonts w:ascii="Calibri" w:eastAsia="Calibri" w:hAnsi="Calibri" w:cs="Calibri"/>
          <w:b/>
        </w:rPr>
        <w:t>Taranto viene inquadrata nell’ambito delle aree a medio-alto potenziale inespresso, analogamente a Bari e Brindisi.</w:t>
      </w:r>
    </w:p>
    <w:p w:rsidR="00714260" w:rsidRPr="00B22816" w:rsidRDefault="00714260" w:rsidP="00714260">
      <w:pPr>
        <w:spacing w:after="0" w:line="240" w:lineRule="auto"/>
        <w:jc w:val="both"/>
        <w:rPr>
          <w:rFonts w:ascii="Calibri" w:eastAsia="Times New Roman" w:hAnsi="Calibri" w:cs="Calibri"/>
          <w:lang w:eastAsia="it-IT"/>
        </w:rPr>
      </w:pPr>
      <w:r w:rsidRPr="00B22816">
        <w:rPr>
          <w:rFonts w:ascii="Calibri" w:eastAsia="Times New Roman" w:hAnsi="Calibri" w:cs="Calibri"/>
          <w:b/>
          <w:lang w:eastAsia="it-IT"/>
        </w:rPr>
        <w:t>Il potenziale turistico della provincia, infatti, appare ancora in larghissima parte sottoutilizzato</w:t>
      </w:r>
      <w:r w:rsidRPr="00B22816">
        <w:rPr>
          <w:rFonts w:ascii="Calibri" w:eastAsia="Times New Roman" w:hAnsi="Calibri" w:cs="Calibri"/>
          <w:lang w:eastAsia="it-IT"/>
        </w:rPr>
        <w:t xml:space="preserve">. Una crescita significativa è ipotizzabile anche nel breve periodo, alla luce delle rilevanti risorse naturali presenti sul territorio e purché si sviluppino linee di </w:t>
      </w:r>
      <w:r w:rsidRPr="00B22816">
        <w:rPr>
          <w:rFonts w:ascii="Calibri" w:eastAsia="Times New Roman" w:hAnsi="Calibri" w:cs="Calibri"/>
          <w:i/>
          <w:lang w:eastAsia="it-IT"/>
        </w:rPr>
        <w:t>policy</w:t>
      </w:r>
      <w:r w:rsidRPr="00B22816">
        <w:rPr>
          <w:rFonts w:ascii="Calibri" w:eastAsia="Times New Roman" w:hAnsi="Calibri" w:cs="Calibri"/>
          <w:lang w:eastAsia="it-IT"/>
        </w:rPr>
        <w:t xml:space="preserve"> orientate parallelamente a: i) aumento della visibilità delle principali mete turistiche del tarantino sui mercati internazionali; ii) miglioramento dei collegamenti con i principali </w:t>
      </w:r>
      <w:proofErr w:type="spellStart"/>
      <w:r w:rsidRPr="00B22816">
        <w:rPr>
          <w:rFonts w:ascii="Calibri" w:eastAsia="Times New Roman" w:hAnsi="Calibri" w:cs="Calibri"/>
          <w:lang w:eastAsia="it-IT"/>
        </w:rPr>
        <w:t>hub</w:t>
      </w:r>
      <w:proofErr w:type="spellEnd"/>
      <w:r w:rsidRPr="00B22816">
        <w:rPr>
          <w:rFonts w:ascii="Calibri" w:eastAsia="Times New Roman" w:hAnsi="Calibri" w:cs="Calibri"/>
          <w:lang w:eastAsia="it-IT"/>
        </w:rPr>
        <w:t xml:space="preserve"> di arrivo dei visitatori stranieri; iii) valorizzazione delle infrastrutture turistiche e delle risorse naturali.</w:t>
      </w:r>
    </w:p>
    <w:p w:rsidR="00714260" w:rsidRPr="00B22816" w:rsidRDefault="00714260" w:rsidP="00714260">
      <w:pPr>
        <w:spacing w:after="0" w:line="240" w:lineRule="auto"/>
        <w:jc w:val="both"/>
        <w:rPr>
          <w:rFonts w:ascii="Calibri" w:eastAsia="Times New Roman" w:hAnsi="Calibri" w:cs="Calibri"/>
          <w:i/>
          <w:color w:val="0070C0"/>
          <w:lang w:eastAsia="it-IT"/>
        </w:rPr>
      </w:pPr>
      <w:r w:rsidRPr="00B22816">
        <w:rPr>
          <w:rFonts w:ascii="Calibri" w:eastAsia="Times New Roman" w:hAnsi="Calibri" w:cs="Calibri"/>
          <w:i/>
          <w:color w:val="0070C0"/>
          <w:lang w:eastAsia="it-IT"/>
        </w:rPr>
        <w:t>Imprese, ricchezza, export</w:t>
      </w:r>
    </w:p>
    <w:p w:rsidR="00714260" w:rsidRPr="00B22816" w:rsidRDefault="00714260" w:rsidP="00714260">
      <w:pPr>
        <w:spacing w:after="0" w:line="240" w:lineRule="auto"/>
        <w:jc w:val="both"/>
        <w:rPr>
          <w:rFonts w:ascii="Calibri" w:eastAsia="Arial Unicode MS" w:hAnsi="Calibri" w:cs="Calibri"/>
          <w:lang w:eastAsia="it-IT"/>
        </w:rPr>
      </w:pPr>
      <w:r w:rsidRPr="00B22816">
        <w:rPr>
          <w:rFonts w:ascii="Calibri" w:eastAsia="Arial Unicode MS" w:hAnsi="Calibri" w:cs="Calibri"/>
          <w:b/>
          <w:lang w:eastAsia="it-IT"/>
        </w:rPr>
        <w:t>Le unità locali attive nel 2014 nella provincia di Taranto sono 48.031, registrando una contrazione del -0,9% rispetto al 2013.</w:t>
      </w:r>
      <w:r w:rsidRPr="00B22816">
        <w:rPr>
          <w:rFonts w:ascii="Calibri" w:eastAsia="Arial Unicode MS" w:hAnsi="Calibri" w:cs="Calibri"/>
          <w:lang w:eastAsia="it-IT"/>
        </w:rPr>
        <w:t xml:space="preserve"> Si tratta di un trend che non si discosta sostanzialmente da quello nazionale (-0,4%) e, più in generale, da quello osservabile per le altre realtà pugliesi (-0,6%). </w:t>
      </w:r>
    </w:p>
    <w:p w:rsidR="00714260" w:rsidRPr="00B22816" w:rsidRDefault="00714260" w:rsidP="00714260">
      <w:pPr>
        <w:spacing w:after="0" w:line="240" w:lineRule="auto"/>
        <w:jc w:val="both"/>
        <w:rPr>
          <w:rFonts w:ascii="Calibri" w:eastAsia="Arial Unicode MS" w:hAnsi="Calibri" w:cs="Calibri"/>
          <w:lang w:eastAsia="it-IT"/>
        </w:rPr>
      </w:pPr>
      <w:r w:rsidRPr="00B22816">
        <w:rPr>
          <w:rFonts w:ascii="Calibri" w:eastAsia="Arial Unicode MS" w:hAnsi="Calibri" w:cs="Calibri"/>
          <w:lang w:eastAsia="it-IT"/>
        </w:rPr>
        <w:t xml:space="preserve">Nel 2014, </w:t>
      </w:r>
      <w:r w:rsidRPr="00B22816">
        <w:rPr>
          <w:rFonts w:ascii="Calibri" w:eastAsia="Arial Unicode MS" w:hAnsi="Calibri" w:cs="Calibri"/>
          <w:b/>
          <w:lang w:eastAsia="it-IT"/>
        </w:rPr>
        <w:t>le imprese giovanili della provincia di Taranto sono 4.739</w:t>
      </w:r>
      <w:r w:rsidRPr="00B22816">
        <w:rPr>
          <w:rFonts w:ascii="Calibri" w:eastAsia="Arial Unicode MS" w:hAnsi="Calibri" w:cs="Calibri"/>
          <w:lang w:eastAsia="it-IT"/>
        </w:rPr>
        <w:t xml:space="preserve"> e risultano attive, in particolare, nel terziario (commercio 38,8%, altri servizi 32,6%), in una dimensione piuttosto in linea con quanto riscontrabile a livello regionale e nazionale. </w:t>
      </w:r>
      <w:r w:rsidRPr="00B22816">
        <w:rPr>
          <w:rFonts w:ascii="Calibri" w:eastAsia="Arial Unicode MS" w:hAnsi="Calibri" w:cs="Calibri"/>
          <w:b/>
          <w:lang w:eastAsia="it-IT"/>
        </w:rPr>
        <w:t xml:space="preserve">Le imprese a titolarità femminile ammontano a 10.734 </w:t>
      </w:r>
      <w:r w:rsidRPr="00B22816">
        <w:rPr>
          <w:rFonts w:ascii="Calibri" w:eastAsia="Arial Unicode MS" w:hAnsi="Calibri" w:cs="Calibri"/>
          <w:lang w:eastAsia="it-IT"/>
        </w:rPr>
        <w:t>e sono distribuite in modo prevalente nei settori del commercio (32,8%), dell’agricoltura (30,9%) e dei servizi (27,3%).</w:t>
      </w:r>
    </w:p>
    <w:p w:rsidR="00714260" w:rsidRPr="00B22816" w:rsidRDefault="00714260" w:rsidP="00714260">
      <w:pPr>
        <w:spacing w:after="0" w:line="240" w:lineRule="auto"/>
        <w:jc w:val="both"/>
        <w:rPr>
          <w:rFonts w:eastAsia="Arial Unicode MS" w:cstheme="minorHAnsi"/>
        </w:rPr>
      </w:pPr>
      <w:r w:rsidRPr="00B22816">
        <w:rPr>
          <w:rFonts w:eastAsia="Arial Unicode MS" w:cstheme="minorHAnsi"/>
        </w:rPr>
        <w:t xml:space="preserve">La fase recessiva che continua ad interessare la provincia di Taranto ha determinato, anche per il 2014, un decremento della ricchezza media per abitante, che allontana ulteriormente l’area dagli standard nazionali. Più nel dettaglio, </w:t>
      </w:r>
      <w:r w:rsidRPr="00B22816">
        <w:rPr>
          <w:rFonts w:eastAsia="Arial Unicode MS" w:cstheme="minorHAnsi"/>
          <w:b/>
        </w:rPr>
        <w:t>il valore aggiunto pro capite si riduce di poco più di 550 euro, passando da 15.163,08 euro del 2013 a 14.609,86 del 2014 e mostrando la variazione più ampia tra le province pugliesi</w:t>
      </w:r>
      <w:r w:rsidRPr="00B22816">
        <w:rPr>
          <w:rFonts w:eastAsia="Arial Unicode MS" w:cstheme="minorHAnsi"/>
        </w:rPr>
        <w:t xml:space="preserve"> (Taranto: -3,6; Puglia: -1,2%; Italia:    -0,7%). </w:t>
      </w:r>
    </w:p>
    <w:p w:rsidR="00714260" w:rsidRPr="00B22816" w:rsidRDefault="00714260" w:rsidP="00714260">
      <w:pPr>
        <w:spacing w:after="0" w:line="240" w:lineRule="auto"/>
        <w:jc w:val="both"/>
        <w:rPr>
          <w:rFonts w:eastAsia="Arial Unicode MS" w:cstheme="minorHAnsi"/>
        </w:rPr>
      </w:pPr>
      <w:r w:rsidRPr="00B22816">
        <w:rPr>
          <w:rFonts w:eastAsia="Arial Unicode MS" w:cstheme="minorHAnsi"/>
          <w:b/>
        </w:rPr>
        <w:t>Nel 2014, il valore delle merci esportate si attesta a circa 1,6 miliardi di euro, facendo registrare rispetto al 2013 un incremento del +24,7%</w:t>
      </w:r>
      <w:r w:rsidRPr="00B22816">
        <w:rPr>
          <w:rFonts w:eastAsia="Arial Unicode MS" w:cstheme="minorHAnsi"/>
        </w:rPr>
        <w:t xml:space="preserve">. </w:t>
      </w:r>
      <w:r w:rsidRPr="00B22816">
        <w:rPr>
          <w:rFonts w:ascii="Calibri" w:eastAsia="Arial Unicode MS" w:hAnsi="Calibri" w:cs="Calibri"/>
          <w:lang w:eastAsia="it-IT"/>
        </w:rPr>
        <w:t xml:space="preserve">La composizione delle esportazioni tarantine risulta poco diversificata: le prime dieci merci esportate incidono per il 91,7% sul volume totale di export. Più nel dettaglio, si osserva che quasi la metà dell’export (47,5%) riguarda metalli o prodotti in metallo, per un valore complessivo di 758,9 milioni; tra le altre voci assumono un certo peso coke e prodotti petroliferi raffinati (11,9%), mezzi di trasporto (10,2%), apparecchi elettrici (9,4%) e estrazione di minerali (7,9%). Piuttosto contenuto risulta invece il peso del settore agricoltura, silvicoltura e pesca (2,8%). </w:t>
      </w:r>
      <w:r w:rsidRPr="00B22816">
        <w:rPr>
          <w:rFonts w:eastAsia="Arial Unicode MS" w:cstheme="minorHAnsi"/>
        </w:rPr>
        <w:t>Il commercio estero tarantino rimane ancora ampiamente ancorato alle materie prime e ai prodotti tradizionali, mentre l’incidenza dei prodotti ad alto contenuto tecnologico permane limitata.</w:t>
      </w:r>
    </w:p>
    <w:p w:rsidR="00714260" w:rsidRPr="00B22816" w:rsidRDefault="00714260" w:rsidP="00714260">
      <w:pPr>
        <w:spacing w:after="0" w:line="240" w:lineRule="auto"/>
        <w:jc w:val="both"/>
        <w:rPr>
          <w:rFonts w:eastAsia="Arial Unicode MS" w:cstheme="minorHAnsi"/>
          <w:i/>
          <w:color w:val="0070C0"/>
        </w:rPr>
      </w:pPr>
      <w:r w:rsidRPr="00B22816">
        <w:rPr>
          <w:rFonts w:eastAsia="Arial Unicode MS" w:cstheme="minorHAnsi"/>
          <w:i/>
          <w:color w:val="0070C0"/>
        </w:rPr>
        <w:t>Il credito</w:t>
      </w:r>
    </w:p>
    <w:p w:rsidR="00714260" w:rsidRPr="00B22816" w:rsidRDefault="00714260" w:rsidP="00714260">
      <w:pPr>
        <w:spacing w:after="0" w:line="240" w:lineRule="auto"/>
        <w:jc w:val="both"/>
        <w:rPr>
          <w:rFonts w:ascii="Calibri" w:eastAsia="Arial Unicode MS" w:hAnsi="Calibri" w:cs="Calibri"/>
          <w:lang w:eastAsia="it-IT"/>
        </w:rPr>
      </w:pPr>
      <w:r w:rsidRPr="00B22816">
        <w:rPr>
          <w:rFonts w:eastAsia="Arial Unicode MS" w:cstheme="minorHAnsi"/>
          <w:b/>
        </w:rPr>
        <w:t>In provincia di Taranto, rispetto al 2013, la quota di depositi bancari e risparmi postali è cresciuta del 2,8%</w:t>
      </w:r>
      <w:r w:rsidRPr="00B22816">
        <w:rPr>
          <w:rFonts w:eastAsia="Arial Unicode MS" w:cstheme="minorHAnsi"/>
        </w:rPr>
        <w:t xml:space="preserve">. Si tratta di un incremento più debole di quanto registrato in Puglia (+3,3%) e nel resto del Paese (+3,6%). </w:t>
      </w:r>
      <w:r w:rsidRPr="00B22816">
        <w:rPr>
          <w:rFonts w:ascii="Calibri" w:eastAsia="Arial Unicode MS" w:hAnsi="Calibri" w:cs="Calibri"/>
          <w:lang w:eastAsia="it-IT"/>
        </w:rPr>
        <w:t xml:space="preserve">L’analisi della distribuzione dei risparmi per clientela mostra che la grande maggioranza dei depositi bancari e postali della provincia di Taranto si ascrive alle famiglie consumatrici (85,2%). Le sofferenze bancarie, indicatore in grado di evidenziare le situazioni di difficoltà economica, aumentano del 6% nel 2014, dato inferiore all’incremento regionale (+10,1%) e nazionale (+13,5%) che conferma quanto </w:t>
      </w:r>
      <w:r w:rsidRPr="00B22816">
        <w:rPr>
          <w:rFonts w:ascii="Calibri" w:eastAsia="Arial Unicode MS" w:hAnsi="Calibri" w:cs="Calibri"/>
          <w:lang w:eastAsia="it-IT"/>
        </w:rPr>
        <w:lastRenderedPageBreak/>
        <w:t xml:space="preserve">sottolineato nell’ambito delle situazioni di criticità imprenditoriale riguardo la minore vulnerabilità finanziaria del tessuto produttivo tarantino. Le difficoltà verso il sistema bancario sembrano investire soprattutto il ramo delle costruzioni (+26,3%) e dei servizi +21,2%.  </w:t>
      </w:r>
      <w:r w:rsidRPr="00B22816">
        <w:rPr>
          <w:rFonts w:ascii="Calibri" w:eastAsia="Arial Unicode MS" w:hAnsi="Calibri" w:cs="Calibri"/>
          <w:b/>
          <w:lang w:eastAsia="it-IT"/>
        </w:rPr>
        <w:t>L’accesso al credito nella provincia di Taranto sconta, tuttavia, rischi</w:t>
      </w:r>
      <w:r w:rsidRPr="00B22816">
        <w:rPr>
          <w:rFonts w:ascii="Calibri" w:eastAsia="Arial Unicode MS" w:hAnsi="Calibri" w:cs="Calibri"/>
          <w:lang w:eastAsia="it-IT"/>
        </w:rPr>
        <w:t xml:space="preserve"> </w:t>
      </w:r>
      <w:r w:rsidRPr="00B22816">
        <w:rPr>
          <w:rFonts w:ascii="Calibri" w:eastAsia="Arial Unicode MS" w:hAnsi="Calibri" w:cs="Calibri"/>
          <w:b/>
          <w:lang w:eastAsia="it-IT"/>
        </w:rPr>
        <w:t>maggiori rispetto alla media pugliese e nazionale</w:t>
      </w:r>
      <w:r w:rsidRPr="00B22816">
        <w:rPr>
          <w:rFonts w:ascii="Calibri" w:eastAsia="Arial Unicode MS" w:hAnsi="Calibri" w:cs="Calibri"/>
          <w:lang w:eastAsia="it-IT"/>
        </w:rPr>
        <w:t>. Il tasso di interesse sui finanziamenti per cassa per rischi a revoca è, infatti, pari a 9,61%, al di sopra sia del dato pugliese (8,75%) e, in modo ancor più evidente, di quello nazionale (6,27%).</w:t>
      </w:r>
    </w:p>
    <w:p w:rsidR="00714260" w:rsidRPr="00B22816" w:rsidRDefault="00714260" w:rsidP="00714260">
      <w:pPr>
        <w:spacing w:after="0" w:line="240" w:lineRule="auto"/>
        <w:jc w:val="both"/>
        <w:rPr>
          <w:rFonts w:ascii="Calibri" w:eastAsia="Arial Unicode MS" w:hAnsi="Calibri" w:cs="Calibri"/>
          <w:i/>
          <w:color w:val="0070C0"/>
          <w:lang w:eastAsia="it-IT"/>
        </w:rPr>
      </w:pPr>
      <w:r w:rsidRPr="00B22816">
        <w:rPr>
          <w:rFonts w:ascii="Calibri" w:eastAsia="Arial Unicode MS" w:hAnsi="Calibri" w:cs="Calibri"/>
          <w:i/>
          <w:color w:val="0070C0"/>
          <w:lang w:eastAsia="it-IT"/>
        </w:rPr>
        <w:t>L’agroalimentare</w:t>
      </w:r>
    </w:p>
    <w:p w:rsidR="00714260" w:rsidRPr="00B22816" w:rsidRDefault="00714260" w:rsidP="00714260">
      <w:pPr>
        <w:spacing w:after="0" w:line="240" w:lineRule="auto"/>
        <w:jc w:val="both"/>
        <w:rPr>
          <w:rFonts w:ascii="Calibri" w:eastAsia="Times New Roman" w:hAnsi="Calibri" w:cs="Calibri"/>
          <w:lang w:eastAsia="it-IT"/>
        </w:rPr>
      </w:pPr>
      <w:r w:rsidRPr="00B22816">
        <w:rPr>
          <w:rFonts w:ascii="Calibri" w:eastAsia="Arial Unicode MS" w:hAnsi="Calibri" w:cs="Calibri"/>
          <w:b/>
          <w:lang w:eastAsia="it-IT"/>
        </w:rPr>
        <w:t>Nel 2013, il settore primario tarantino ha contribuito alla formazione del valore aggiunto provinciale con 565,2 milioni di euro, segnando una variazione positiva del +18,9% rispetto al 2012</w:t>
      </w:r>
      <w:r w:rsidRPr="00B22816">
        <w:rPr>
          <w:rFonts w:ascii="Calibri" w:eastAsia="Arial Unicode MS" w:hAnsi="Calibri" w:cs="Calibri"/>
          <w:lang w:eastAsia="it-IT"/>
        </w:rPr>
        <w:t>, crescita superiore sia alla media regionale (+17,8%) che a quella nazionale (+5,6%)</w:t>
      </w:r>
      <w:r w:rsidRPr="00B22816">
        <w:rPr>
          <w:rFonts w:ascii="Calibri" w:eastAsia="Times New Roman" w:hAnsi="Calibri" w:cs="Calibri"/>
          <w:lang w:eastAsia="it-IT"/>
        </w:rPr>
        <w:t xml:space="preserve">. </w:t>
      </w:r>
    </w:p>
    <w:p w:rsidR="00714260" w:rsidRPr="00B22816" w:rsidRDefault="00714260" w:rsidP="00714260">
      <w:pPr>
        <w:spacing w:after="0" w:line="240" w:lineRule="auto"/>
        <w:jc w:val="both"/>
        <w:rPr>
          <w:rFonts w:ascii="Calibri" w:eastAsia="Times New Roman" w:hAnsi="Calibri" w:cs="Calibri"/>
          <w:lang w:eastAsia="it-IT"/>
        </w:rPr>
      </w:pPr>
      <w:r w:rsidRPr="00B22816">
        <w:rPr>
          <w:rFonts w:ascii="Calibri" w:eastAsia="Times New Roman" w:hAnsi="Calibri" w:cs="Calibri"/>
          <w:lang w:eastAsia="it-IT"/>
        </w:rPr>
        <w:t>Il contributo del comparto agroalimentare all’occupazione provinciale risulta maggiore rispetto a quanto osservato in Puglia ed in Italia: nel tarantino, infatti, il comparto agroalimentare assorbe il</w:t>
      </w:r>
      <w:r>
        <w:rPr>
          <w:rFonts w:ascii="Calibri" w:eastAsia="Times New Roman" w:hAnsi="Calibri" w:cs="Calibri"/>
          <w:lang w:eastAsia="it-IT"/>
        </w:rPr>
        <w:t xml:space="preserve"> </w:t>
      </w:r>
      <w:r w:rsidRPr="00B22816">
        <w:rPr>
          <w:rFonts w:ascii="Calibri" w:eastAsia="Times New Roman" w:hAnsi="Calibri" w:cs="Calibri"/>
          <w:lang w:eastAsia="it-IT"/>
        </w:rPr>
        <w:t xml:space="preserve">16% del totale degli addetti, 1,5 punti percentuali in più di quanto riscontrato a livello regionale e 8,2 punti percentuali in più di quanto rilevato in Italia. Per quanto concerne le esportazioni, si è invece assistito ad un importante incremento nel 2012 (+19,8%), compensato da successivi cali del 19,7% e del 3,5% rispettivamente nel 2013 e nel 2014. </w:t>
      </w:r>
      <w:proofErr w:type="spellStart"/>
      <w:r w:rsidRPr="00B22816">
        <w:rPr>
          <w:rFonts w:ascii="Calibri" w:eastAsia="Times New Roman" w:hAnsi="Calibri" w:cs="Calibri"/>
          <w:lang w:eastAsia="it-IT"/>
        </w:rPr>
        <w:t>E’importante</w:t>
      </w:r>
      <w:proofErr w:type="spellEnd"/>
      <w:r w:rsidRPr="00B22816">
        <w:rPr>
          <w:rFonts w:ascii="Calibri" w:eastAsia="Times New Roman" w:hAnsi="Calibri" w:cs="Calibri"/>
          <w:lang w:eastAsia="it-IT"/>
        </w:rPr>
        <w:t xml:space="preserve"> evidenziare come la contenuta rilevanza dell’export di prodotti alimentari rispetto al commercio estero complessivo della provincia, rappresenta un evidente punto di debolezza, in un paese come l’Italia dove il comparto rappresenta un’eccellenza riconosciuta a livello internazionale. L’anomalia del tarantino emerge chiaramente se si rapporta il dato locale con quello relativo alla Puglia nel suo complesso, dove le esportazioni agroalimentari pesano per il 17,3%, ben 12,3 punti in percentuali in più di Taranto. </w:t>
      </w:r>
    </w:p>
    <w:p w:rsidR="00714260" w:rsidRPr="00B22816" w:rsidRDefault="00714260" w:rsidP="00714260">
      <w:pPr>
        <w:spacing w:after="0" w:line="240" w:lineRule="auto"/>
        <w:jc w:val="both"/>
        <w:rPr>
          <w:rFonts w:ascii="Calibri" w:eastAsia="Times New Roman" w:hAnsi="Calibri" w:cs="Calibri"/>
          <w:i/>
          <w:color w:val="0070C0"/>
          <w:lang w:eastAsia="it-IT"/>
        </w:rPr>
      </w:pPr>
      <w:r w:rsidRPr="00B22816">
        <w:rPr>
          <w:rFonts w:ascii="Calibri" w:eastAsia="Times New Roman" w:hAnsi="Calibri" w:cs="Calibri"/>
          <w:i/>
          <w:color w:val="0070C0"/>
          <w:lang w:eastAsia="it-IT"/>
        </w:rPr>
        <w:t>Il turismo</w:t>
      </w:r>
    </w:p>
    <w:p w:rsidR="00714260" w:rsidRPr="00B22816" w:rsidRDefault="00714260" w:rsidP="00714260">
      <w:pPr>
        <w:spacing w:after="0" w:line="240" w:lineRule="auto"/>
        <w:jc w:val="both"/>
        <w:rPr>
          <w:rFonts w:eastAsia="Arial Unicode MS" w:cstheme="minorHAnsi"/>
        </w:rPr>
      </w:pPr>
      <w:r w:rsidRPr="00B22816">
        <w:rPr>
          <w:rFonts w:ascii="Calibri" w:eastAsia="Arial Unicode MS" w:hAnsi="Calibri" w:cs="Calibri"/>
          <w:lang w:eastAsia="it-IT"/>
        </w:rPr>
        <w:t xml:space="preserve">Il settore del turismo può rappresentare per la provincia di Taranto un importante fattore di rilancio dell’economia locale, tuttavia, la lettura dei principali indicatori turistici suggerisce che tale risorsa risulta ancora lontana dall’essere pienamente valorizzata. Ad esempio, se si considera </w:t>
      </w:r>
      <w:r w:rsidRPr="00B22816">
        <w:rPr>
          <w:rFonts w:ascii="Calibri" w:eastAsia="Arial Unicode MS" w:hAnsi="Calibri" w:cs="Calibri"/>
          <w:b/>
          <w:lang w:eastAsia="it-IT"/>
        </w:rPr>
        <w:t>l’indice di concentrazione turistica</w:t>
      </w:r>
      <w:r w:rsidRPr="00B22816">
        <w:rPr>
          <w:rFonts w:ascii="Calibri" w:eastAsia="Arial Unicode MS" w:hAnsi="Calibri" w:cs="Calibri"/>
          <w:lang w:eastAsia="it-IT"/>
        </w:rPr>
        <w:t>, che misura il rapporto tra gli arrivi totali annui e la popolazione,</w:t>
      </w:r>
      <w:r w:rsidRPr="00B22816">
        <w:rPr>
          <w:rFonts w:ascii="Calibri" w:eastAsia="Arial Unicode MS" w:hAnsi="Calibri" w:cs="Calibri"/>
          <w:b/>
          <w:lang w:eastAsia="it-IT"/>
        </w:rPr>
        <w:t xml:space="preserve"> Taranto si colloca addirittura al 98-esimo posto a livello nazionale. </w:t>
      </w:r>
      <w:r w:rsidRPr="00B22816">
        <w:rPr>
          <w:rFonts w:ascii="Calibri" w:eastAsia="Arial Unicode MS" w:hAnsi="Calibri" w:cs="Calibri"/>
          <w:lang w:eastAsia="it-IT"/>
        </w:rPr>
        <w:t>Focalizzando l’attenzione sui dati relativi al 2013, si osserva come Taranto si collochi al penultimo posto, dopo Barletta Andria Trani, tra le Province pugliesi per presenze (1.100.710) ed arrivi (258.745). Se si rapporta il dato complessivo provinciale con quello totale della Puglia, si rileva come la provincia tarantina abbia contribuito per appena l’8,1% agli arrivi e per l’8,2% alle presenze totali in regione.</w:t>
      </w:r>
      <w:r w:rsidRPr="00B22816">
        <w:rPr>
          <w:rFonts w:ascii="Calibri" w:eastAsia="Arial Unicode MS" w:hAnsi="Calibri" w:cs="Calibri"/>
          <w:b/>
          <w:lang w:eastAsia="it-IT"/>
        </w:rPr>
        <w:t xml:space="preserve"> L’area del tarantino fatica ad attrarre turisti internazionali, come evidenziato dalla 90-esima posizione dell’indice di internazionalizzazione turistica</w:t>
      </w:r>
      <w:r w:rsidRPr="00B22816">
        <w:rPr>
          <w:rFonts w:ascii="Calibri" w:eastAsia="Arial Unicode MS" w:hAnsi="Calibri" w:cs="Calibri"/>
          <w:lang w:eastAsia="it-IT"/>
        </w:rPr>
        <w:t xml:space="preserve">. </w:t>
      </w:r>
      <w:r w:rsidRPr="00B22816">
        <w:rPr>
          <w:rFonts w:eastAsia="Arial Unicode MS" w:cstheme="minorHAnsi"/>
          <w:b/>
        </w:rPr>
        <w:t>La spesa dei turisti internazionali in provincia di Taranto ha raggiunto nel 2014 il livello più basso dell’ultimo quinquennio, attestandosi a 30 milioni di euro</w:t>
      </w:r>
      <w:r w:rsidRPr="00B22816">
        <w:rPr>
          <w:rFonts w:eastAsia="Arial Unicode MS" w:cstheme="minorHAnsi"/>
        </w:rPr>
        <w:t>. Particolarmente rilevante la flessione del periodo 2011-2014, quando il volume di spesa si è ridotto del 38,8%, passando da 49 a 30 milioni di euro.</w:t>
      </w:r>
    </w:p>
    <w:p w:rsidR="00714260" w:rsidRPr="00B22816" w:rsidRDefault="00714260" w:rsidP="00714260">
      <w:pPr>
        <w:spacing w:after="0" w:line="240" w:lineRule="auto"/>
        <w:jc w:val="both"/>
        <w:rPr>
          <w:rFonts w:eastAsia="Arial Unicode MS" w:cstheme="minorHAnsi"/>
          <w:i/>
          <w:color w:val="0070C0"/>
        </w:rPr>
      </w:pPr>
      <w:r w:rsidRPr="00B22816">
        <w:rPr>
          <w:rFonts w:eastAsia="Arial Unicode MS" w:cstheme="minorHAnsi"/>
          <w:i/>
          <w:color w:val="0070C0"/>
        </w:rPr>
        <w:t>L’economia del mare</w:t>
      </w:r>
    </w:p>
    <w:p w:rsidR="00714260" w:rsidRPr="00B22816" w:rsidRDefault="00714260" w:rsidP="00714260">
      <w:pPr>
        <w:spacing w:after="0" w:line="240" w:lineRule="auto"/>
        <w:jc w:val="both"/>
        <w:rPr>
          <w:rFonts w:ascii="Calibri" w:eastAsia="SimSun" w:hAnsi="Calibri" w:cs="Arial"/>
          <w:bCs/>
          <w:iCs/>
          <w:lang w:eastAsia="zh-CN"/>
        </w:rPr>
      </w:pPr>
      <w:r w:rsidRPr="00B22816">
        <w:rPr>
          <w:rFonts w:ascii="Calibri" w:eastAsia="SimSun" w:hAnsi="Calibri" w:cs="Arial"/>
          <w:bCs/>
          <w:iCs/>
          <w:lang w:eastAsia="zh-CN"/>
        </w:rPr>
        <w:t>N</w:t>
      </w:r>
      <w:r w:rsidRPr="00B22816">
        <w:rPr>
          <w:rFonts w:ascii="Calibri" w:eastAsia="SimSun" w:hAnsi="Calibri" w:cs="Arial"/>
          <w:b/>
          <w:bCs/>
          <w:iCs/>
          <w:lang w:eastAsia="zh-CN"/>
        </w:rPr>
        <w:t>el 2014 l’incidenza del valore aggiunto dell’economia del mare</w:t>
      </w:r>
      <w:r w:rsidRPr="00B22816">
        <w:rPr>
          <w:rFonts w:ascii="Calibri" w:eastAsia="SimSun" w:hAnsi="Calibri" w:cs="Arial"/>
          <w:bCs/>
          <w:iCs/>
          <w:lang w:eastAsia="zh-CN"/>
        </w:rPr>
        <w:t xml:space="preserve"> </w:t>
      </w:r>
      <w:r w:rsidRPr="00B22816">
        <w:rPr>
          <w:rFonts w:ascii="Calibri" w:eastAsia="SimSun" w:hAnsi="Calibri" w:cs="Arial"/>
          <w:b/>
          <w:bCs/>
          <w:iCs/>
          <w:lang w:eastAsia="zh-CN"/>
        </w:rPr>
        <w:t xml:space="preserve">sul totale </w:t>
      </w:r>
      <w:r w:rsidRPr="00B22816">
        <w:rPr>
          <w:rFonts w:ascii="Calibri" w:eastAsia="SimSun" w:hAnsi="Calibri" w:cs="Arial"/>
          <w:bCs/>
          <w:iCs/>
          <w:lang w:eastAsia="zh-CN"/>
        </w:rPr>
        <w:t xml:space="preserve">– stimato in 693,1 milioni di euro – </w:t>
      </w:r>
      <w:r w:rsidRPr="00B22816">
        <w:rPr>
          <w:rFonts w:ascii="Calibri" w:eastAsia="SimSun" w:hAnsi="Calibri" w:cs="Arial"/>
          <w:b/>
          <w:bCs/>
          <w:iCs/>
          <w:lang w:eastAsia="zh-CN"/>
        </w:rPr>
        <w:t>è stato del 7,3%, 2,4 punti percentuali in più della media pugliese</w:t>
      </w:r>
      <w:r w:rsidRPr="00B22816">
        <w:rPr>
          <w:rFonts w:ascii="Calibri" w:eastAsia="SimSun" w:hAnsi="Calibri" w:cs="Arial"/>
          <w:bCs/>
          <w:iCs/>
          <w:lang w:eastAsia="zh-CN"/>
        </w:rPr>
        <w:t xml:space="preserve"> e 4,3 punti percentuali in più del dato nazionale. In termini di valore assoluto, soltanto a Bari si rileva una maggiore quota di valore aggiunto connessa alla risorsa mare (854 milioni).</w:t>
      </w:r>
    </w:p>
    <w:p w:rsidR="00714260" w:rsidRPr="00B22816" w:rsidRDefault="00714260" w:rsidP="00714260">
      <w:pPr>
        <w:spacing w:after="0" w:line="240" w:lineRule="auto"/>
        <w:jc w:val="both"/>
        <w:rPr>
          <w:rFonts w:ascii="Calibri" w:eastAsia="Arial Unicode MS" w:hAnsi="Calibri" w:cs="Calibri"/>
          <w:lang w:eastAsia="it-IT"/>
        </w:rPr>
      </w:pPr>
      <w:r w:rsidRPr="00B22816">
        <w:rPr>
          <w:rFonts w:ascii="Calibri" w:eastAsia="SimSun" w:hAnsi="Calibri" w:cs="Arial"/>
          <w:b/>
          <w:bCs/>
          <w:iCs/>
          <w:lang w:eastAsia="zh-CN"/>
        </w:rPr>
        <w:t xml:space="preserve">La ricchezza prodotta dalla </w:t>
      </w:r>
      <w:r w:rsidRPr="00B22816">
        <w:rPr>
          <w:rFonts w:ascii="Calibri" w:eastAsia="SimSun" w:hAnsi="Calibri" w:cs="Arial"/>
          <w:b/>
          <w:bCs/>
          <w:i/>
          <w:iCs/>
          <w:lang w:eastAsia="zh-CN"/>
        </w:rPr>
        <w:t xml:space="preserve">blue economy </w:t>
      </w:r>
      <w:r w:rsidRPr="00B22816">
        <w:rPr>
          <w:rFonts w:ascii="Calibri" w:eastAsia="SimSun" w:hAnsi="Calibri" w:cs="Arial"/>
          <w:b/>
          <w:bCs/>
          <w:iCs/>
          <w:lang w:eastAsia="zh-CN"/>
        </w:rPr>
        <w:t>nel tarantino è per oltre la metà (56,5%) ascrivibile al settore “ricerca, regolamentazione e tutela ambientale”</w:t>
      </w:r>
      <w:r w:rsidRPr="00B22816">
        <w:rPr>
          <w:rFonts w:ascii="Calibri" w:eastAsia="SimSun" w:hAnsi="Calibri" w:cs="Arial"/>
          <w:bCs/>
          <w:iCs/>
          <w:lang w:eastAsia="zh-CN"/>
        </w:rPr>
        <w:t>, che fa riferimento ad attività di ricerca e sviluppo nel campo delle biotecnologie marine e delle scienze naturali legate al mare, a quelle di regolamentazione per la tutela ambientale, nonché alle attività legate all’istruzione. N</w:t>
      </w:r>
      <w:r w:rsidRPr="00B22816">
        <w:rPr>
          <w:rFonts w:ascii="Calibri" w:eastAsia="SimSun" w:hAnsi="Calibri" w:cs="Arial"/>
          <w:b/>
          <w:bCs/>
          <w:iCs/>
          <w:lang w:eastAsia="zh-CN"/>
        </w:rPr>
        <w:t>on risulta pienamente valorizzata la presenza di un importante porto</w:t>
      </w:r>
      <w:r w:rsidRPr="00B22816">
        <w:rPr>
          <w:rFonts w:ascii="Calibri" w:eastAsia="SimSun" w:hAnsi="Calibri" w:cs="Arial"/>
          <w:bCs/>
          <w:iCs/>
          <w:lang w:eastAsia="zh-CN"/>
        </w:rPr>
        <w:t xml:space="preserve"> – il quinto a livello nazionale per movimentazione merci – </w:t>
      </w:r>
      <w:r w:rsidRPr="00B22816">
        <w:rPr>
          <w:rFonts w:ascii="Calibri" w:eastAsia="SimSun" w:hAnsi="Calibri" w:cs="Arial"/>
          <w:b/>
          <w:bCs/>
          <w:iCs/>
          <w:lang w:eastAsia="zh-CN"/>
        </w:rPr>
        <w:t xml:space="preserve">alla luce della contenuta incidenza dei settori “movimentazione merci e passeggeri”. </w:t>
      </w:r>
      <w:r w:rsidRPr="00B22816">
        <w:rPr>
          <w:rFonts w:ascii="Calibri" w:eastAsia="SimSun" w:hAnsi="Calibri" w:cs="Arial"/>
          <w:bCs/>
          <w:iCs/>
          <w:lang w:eastAsia="zh-CN"/>
        </w:rPr>
        <w:t>L</w:t>
      </w:r>
      <w:r w:rsidRPr="00B22816">
        <w:rPr>
          <w:rFonts w:ascii="Calibri" w:eastAsia="Arial Unicode MS" w:hAnsi="Calibri" w:cs="Calibri"/>
          <w:lang w:eastAsia="it-IT"/>
        </w:rPr>
        <w:t xml:space="preserve">e imprese della filiera ittica rappresentano per la provincia di Taranto poco più di un quinto (21,3%) del totale </w:t>
      </w:r>
      <w:r w:rsidRPr="00B22816">
        <w:rPr>
          <w:rFonts w:ascii="Calibri" w:eastAsia="Arial Unicode MS" w:hAnsi="Calibri" w:cs="Calibri"/>
          <w:i/>
          <w:lang w:eastAsia="it-IT"/>
        </w:rPr>
        <w:t>blue</w:t>
      </w:r>
      <w:r w:rsidRPr="00B22816">
        <w:rPr>
          <w:rFonts w:ascii="Calibri" w:eastAsia="Arial Unicode MS" w:hAnsi="Calibri" w:cs="Calibri"/>
          <w:lang w:eastAsia="it-IT"/>
        </w:rPr>
        <w:t xml:space="preserve">, mentre a livello regionale incidono per poco meno di un quarto (24,5%). Gli addetti alle attività dell’economia del mare in provincia di Taranto sono circa 10.200 (il 6,7% del totale degli addetti). </w:t>
      </w:r>
    </w:p>
    <w:p w:rsidR="00714260" w:rsidRPr="00B22816" w:rsidRDefault="00714260" w:rsidP="00714260">
      <w:pPr>
        <w:spacing w:after="0" w:line="240" w:lineRule="auto"/>
        <w:jc w:val="both"/>
        <w:rPr>
          <w:rFonts w:ascii="Calibri" w:eastAsia="Arial Unicode MS" w:hAnsi="Calibri" w:cs="Calibri"/>
          <w:i/>
          <w:lang w:eastAsia="it-IT"/>
        </w:rPr>
      </w:pPr>
      <w:r w:rsidRPr="00B22816">
        <w:rPr>
          <w:rFonts w:ascii="Calibri" w:eastAsia="Arial Unicode MS" w:hAnsi="Calibri" w:cs="Calibri"/>
          <w:i/>
          <w:lang w:eastAsia="it-IT"/>
        </w:rPr>
        <w:t xml:space="preserve"> </w:t>
      </w:r>
    </w:p>
    <w:p w:rsidR="00714260" w:rsidRPr="00B22816" w:rsidRDefault="00714260" w:rsidP="00714260">
      <w:pPr>
        <w:spacing w:after="0" w:line="240" w:lineRule="auto"/>
        <w:jc w:val="both"/>
        <w:rPr>
          <w:rFonts w:ascii="Calibri" w:eastAsia="Arial Unicode MS" w:hAnsi="Calibri" w:cs="Calibri"/>
          <w:i/>
          <w:lang w:eastAsia="it-IT"/>
        </w:rPr>
      </w:pPr>
    </w:p>
    <w:p w:rsidR="00E31982" w:rsidRDefault="00714260" w:rsidP="00714260">
      <w:pPr>
        <w:spacing w:after="0" w:line="240" w:lineRule="auto"/>
        <w:jc w:val="both"/>
      </w:pPr>
      <w:r w:rsidRPr="00F8062C">
        <w:rPr>
          <w:rFonts w:ascii="Calibri" w:eastAsia="Arial Unicode MS" w:hAnsi="Calibri" w:cs="Calibri"/>
          <w:i/>
          <w:sz w:val="24"/>
          <w:szCs w:val="24"/>
          <w:lang w:eastAsia="it-IT"/>
        </w:rPr>
        <w:t>Taranto, 21 luglio 2015</w:t>
      </w:r>
    </w:p>
    <w:sectPr w:rsidR="00E31982" w:rsidSect="006223F3">
      <w:footerReference w:type="default" r:id="rI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21828"/>
      <w:docPartObj>
        <w:docPartGallery w:val="Page Numbers (Bottom of Page)"/>
        <w:docPartUnique/>
      </w:docPartObj>
    </w:sdtPr>
    <w:sdtEndPr/>
    <w:sdtContent>
      <w:p w:rsidR="00EC2A60" w:rsidRDefault="00B26E04">
        <w:pPr>
          <w:pStyle w:val="Pidipagina"/>
          <w:jc w:val="right"/>
        </w:pPr>
        <w:r>
          <w:fldChar w:fldCharType="begin"/>
        </w:r>
        <w:r>
          <w:instrText>PAGE   \* MERGEFORMAT</w:instrText>
        </w:r>
        <w:r>
          <w:fldChar w:fldCharType="separate"/>
        </w:r>
        <w:r>
          <w:rPr>
            <w:noProof/>
          </w:rPr>
          <w:t>3</w:t>
        </w:r>
        <w:r>
          <w:fldChar w:fldCharType="end"/>
        </w:r>
      </w:p>
    </w:sdtContent>
  </w:sdt>
  <w:p w:rsidR="00EC2A60" w:rsidRDefault="00B26E04">
    <w:pPr>
      <w:pStyle w:val="Pidipa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60"/>
    <w:rsid w:val="00196C98"/>
    <w:rsid w:val="00714260"/>
    <w:rsid w:val="00B26E04"/>
    <w:rsid w:val="00DF0975"/>
    <w:rsid w:val="00F75FC2"/>
    <w:rsid w:val="00FD3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42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14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260"/>
  </w:style>
  <w:style w:type="paragraph" w:styleId="Testofumetto">
    <w:name w:val="Balloon Text"/>
    <w:basedOn w:val="Normale"/>
    <w:link w:val="TestofumettoCarattere"/>
    <w:uiPriority w:val="99"/>
    <w:semiHidden/>
    <w:unhideWhenUsed/>
    <w:rsid w:val="007142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42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14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260"/>
  </w:style>
  <w:style w:type="paragraph" w:styleId="Testofumetto">
    <w:name w:val="Balloon Text"/>
    <w:basedOn w:val="Normale"/>
    <w:link w:val="TestofumettoCarattere"/>
    <w:uiPriority w:val="99"/>
    <w:semiHidden/>
    <w:unhideWhenUsed/>
    <w:rsid w:val="007142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1941</Words>
  <Characters>11070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2015-07-20T16:16:00Z</cp:lastPrinted>
  <dcterms:created xsi:type="dcterms:W3CDTF">2015-07-20T15:55:00Z</dcterms:created>
  <dcterms:modified xsi:type="dcterms:W3CDTF">2015-07-20T16:22:00Z</dcterms:modified>
</cp:coreProperties>
</file>